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spacing w:lineRule="auto" w:line="240"/>
        <w:jc w:val="center"/>
        <w:rPr>
          <w:rFonts w:ascii="Arial Narrow" w:hAnsi="Arial Narrow" w:cs="Arial Narrow"/>
          <w:b/>
          <w:b/>
          <w:lang w:val="pt-BR"/>
        </w:rPr>
      </w:pPr>
      <w:r>
        <w:rPr>
          <w:rFonts w:cs="Arial Narrow" w:ascii="Arial Narrow" w:hAnsi="Arial Narrow"/>
          <w:b/>
          <w:lang w:val="pt-BR"/>
        </w:rPr>
        <w:t>Ilma. Senhora Oficial do Registro de Imóveis da Comarca de Pouso Alegre/MG</w:t>
      </w:r>
    </w:p>
    <w:p>
      <w:pPr>
        <w:pStyle w:val="Corpodotexto"/>
        <w:spacing w:lineRule="auto" w:line="240"/>
        <w:jc w:val="center"/>
        <w:rPr>
          <w:rFonts w:ascii="Arial Narrow" w:hAnsi="Arial Narrow" w:cs="Arial Narrow"/>
          <w:b/>
          <w:b/>
          <w:bCs/>
          <w:u w:val="single"/>
          <w:lang w:val="pt-BR"/>
        </w:rPr>
      </w:pPr>
      <w:r>
        <w:rPr>
          <w:rFonts w:cs="Arial Narrow" w:ascii="Arial Narrow" w:hAnsi="Arial Narrow"/>
          <w:b/>
          <w:bCs/>
          <w:u w:val="single"/>
          <w:lang w:val="pt-BR"/>
        </w:rPr>
      </w:r>
    </w:p>
    <w:p>
      <w:pPr>
        <w:pStyle w:val="Normal"/>
        <w:tabs>
          <w:tab w:val="clear" w:pos="720"/>
          <w:tab w:val="left" w:pos="2340" w:leader="none"/>
        </w:tabs>
        <w:spacing w:lineRule="auto" w:line="276"/>
        <w:ind w:left="0" w:right="-113" w:hanging="0"/>
        <w:jc w:val="both"/>
        <w:rPr>
          <w:rFonts w:ascii="Arial Narrow" w:hAnsi="Arial Narrow" w:cs="Arial Narrow"/>
          <w:color w:val="000000"/>
          <w:lang w:val="pt-BR"/>
        </w:rPr>
      </w:pPr>
      <w:r>
        <w:rPr>
          <w:rFonts w:cs="Arial Narrow" w:ascii="Arial Narrow" w:hAnsi="Arial Narrow"/>
          <w:color w:val="000000"/>
          <w:lang w:val="pt-BR"/>
        </w:rPr>
        <w:t>Nome:_____________________________________________________________________________________,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residente e domiciliado na  ______________________________________________________, número:______, no bairro: __________________________, na cidade de _______________________________, estado: ______, telefone: _______________, e-mail: ________________________________________________________________, na qualidade de ____________________________________________________________________ do imóvel da(s) matrícula(s) ________________________________________________ do Registro de Imóveis de Pouso Alegre, vem, com fundamento na Lei Federal 6.015/1973, requerer a V.Sa., o seguinte:</w:t>
      </w:r>
    </w:p>
    <w:p>
      <w:pPr>
        <w:pStyle w:val="Normal"/>
        <w:tabs>
          <w:tab w:val="clear" w:pos="720"/>
          <w:tab w:val="left" w:pos="2340" w:leader="none"/>
        </w:tabs>
        <w:spacing w:lineRule="auto" w:line="276"/>
        <w:jc w:val="both"/>
        <w:rPr>
          <w:rFonts w:ascii="Arial Narrow" w:hAnsi="Arial Narrow" w:cs="Arial Narrow"/>
          <w:sz w:val="16"/>
          <w:szCs w:val="16"/>
          <w:lang w:val="pt-BR"/>
        </w:rPr>
      </w:pPr>
      <w:r>
        <w:rPr>
          <w:rFonts w:cs="Arial Narrow" w:ascii="Arial Narrow" w:hAnsi="Arial Narrow"/>
          <w:sz w:val="16"/>
          <w:szCs w:val="16"/>
          <w:lang w:val="pt-BR"/>
        </w:rPr>
      </w:r>
    </w:p>
    <w:tbl>
      <w:tblPr>
        <w:tblW w:w="10550" w:type="dxa"/>
        <w:jc w:val="left"/>
        <w:tblInd w:w="48" w:type="dxa"/>
        <w:tblCellMar>
          <w:top w:w="0" w:type="dxa"/>
          <w:left w:w="107" w:type="dxa"/>
          <w:bottom w:w="0" w:type="dxa"/>
          <w:right w:w="108" w:type="dxa"/>
        </w:tblCellMar>
      </w:tblPr>
      <w:tblGrid>
        <w:gridCol w:w="624"/>
        <w:gridCol w:w="9925"/>
      </w:tblGrid>
      <w:tr>
        <w:trPr/>
        <w:tc>
          <w:tcPr>
            <w:tcW w:w="624" w:type="dxa"/>
            <w:tcBorders>
              <w:top w:val="single" w:sz="2" w:space="0" w:color="000000"/>
              <w:left w:val="single" w:sz="2" w:space="0" w:color="000000"/>
              <w:bottom w:val="single" w:sz="2" w:space="0" w:color="000000"/>
            </w:tcBorders>
            <w:shd w:fill="CCCCCC" w:val="clear"/>
          </w:tcPr>
          <w:p>
            <w:pPr>
              <w:pStyle w:val="Normal"/>
              <w:tabs>
                <w:tab w:val="clear" w:pos="720"/>
                <w:tab w:val="left" w:pos="2340" w:leader="none"/>
              </w:tabs>
              <w:spacing w:lineRule="auto" w:line="276"/>
              <w:jc w:val="center"/>
              <w:rPr>
                <w:rFonts w:ascii="Arial Narrow" w:hAnsi="Arial Narrow" w:cs="Arial Narrow"/>
                <w:b/>
                <w:b/>
                <w:bCs/>
                <w:sz w:val="14"/>
                <w:szCs w:val="14"/>
                <w:lang w:val="pt-BR"/>
              </w:rPr>
            </w:pPr>
            <w:r>
              <w:rPr>
                <w:rFonts w:cs="Arial Narrow" w:ascii="Arial Narrow" w:hAnsi="Arial Narrow"/>
                <w:b/>
                <w:bCs/>
                <w:sz w:val="14"/>
                <w:szCs w:val="14"/>
                <w:lang w:val="pt-BR"/>
              </w:rPr>
              <w:t>Opção</w:t>
            </w:r>
          </w:p>
        </w:tc>
        <w:tc>
          <w:tcPr>
            <w:tcW w:w="9925" w:type="dxa"/>
            <w:tcBorders>
              <w:top w:val="single" w:sz="2" w:space="0" w:color="000000"/>
              <w:left w:val="single" w:sz="2" w:space="0" w:color="000000"/>
              <w:bottom w:val="single" w:sz="2" w:space="0" w:color="000000"/>
              <w:right w:val="single" w:sz="2" w:space="0" w:color="000000"/>
            </w:tcBorders>
            <w:shd w:fill="CCCCCC" w:val="clear"/>
          </w:tcPr>
          <w:p>
            <w:pPr>
              <w:pStyle w:val="Normal"/>
              <w:tabs>
                <w:tab w:val="clear" w:pos="720"/>
                <w:tab w:val="left" w:pos="2340" w:leader="none"/>
              </w:tabs>
              <w:spacing w:lineRule="auto" w:line="276"/>
              <w:jc w:val="center"/>
              <w:rPr>
                <w:rFonts w:ascii="Arial Narrow" w:hAnsi="Arial Narrow" w:eastAsia="Times New Roman" w:cs="Arial Narrow"/>
                <w:b/>
                <w:b/>
                <w:bCs/>
                <w:color w:val="auto"/>
                <w:kern w:val="0"/>
                <w:sz w:val="24"/>
                <w:szCs w:val="24"/>
                <w:lang w:val="pt-BR" w:eastAsia="ar-SA" w:bidi="ar-SA"/>
              </w:rPr>
            </w:pPr>
            <w:r>
              <w:rPr>
                <w:rFonts w:eastAsia="Times New Roman" w:cs="Arial Narrow" w:ascii="Arial Narrow" w:hAnsi="Arial Narrow"/>
                <w:b/>
                <w:bCs/>
                <w:color w:val="auto"/>
                <w:kern w:val="0"/>
                <w:sz w:val="24"/>
                <w:szCs w:val="24"/>
                <w:lang w:val="pt-BR" w:eastAsia="ar-SA" w:bidi="ar-SA"/>
              </w:rPr>
              <w:t>Declarações</w:t>
            </w:r>
          </w:p>
        </w:tc>
      </w:tr>
      <w:tr>
        <w:trPr/>
        <w:tc>
          <w:tcPr>
            <w:tcW w:w="624" w:type="dxa"/>
            <w:tcBorders>
              <w:top w:val="single" w:sz="2" w:space="0" w:color="000000"/>
              <w:left w:val="single" w:sz="2" w:space="0" w:color="000000"/>
              <w:bottom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tcBorders>
            <w:shd w:fill="auto" w:val="clear"/>
          </w:tcPr>
          <w:p>
            <w:pPr>
              <w:pStyle w:val="Normal"/>
              <w:tabs>
                <w:tab w:val="clear" w:pos="720"/>
                <w:tab w:val="left" w:pos="2340" w:leader="none"/>
              </w:tabs>
              <w:spacing w:lineRule="auto" w:line="240"/>
              <w:jc w:val="both"/>
              <w:rPr>
                <w:rFonts w:ascii="Arial narrow" w:hAnsi="Arial narrow" w:eastAsia="Times New Roman" w:cs="Arial narrow"/>
                <w:b/>
                <w:b/>
                <w:bCs/>
                <w:color w:val="auto"/>
                <w:kern w:val="0"/>
                <w:sz w:val="20"/>
                <w:szCs w:val="20"/>
                <w:lang w:val="pt-BR" w:eastAsia="ar-SA" w:bidi="ar-SA"/>
              </w:rPr>
            </w:pPr>
            <w:r>
              <w:rPr>
                <w:rFonts w:eastAsia="Times New Roman" w:cs="Arial narrow" w:ascii="Arial narrow" w:hAnsi="Arial narrow"/>
                <w:b/>
                <w:bCs/>
                <w:color w:val="auto"/>
                <w:kern w:val="0"/>
                <w:sz w:val="20"/>
                <w:szCs w:val="20"/>
                <w:lang w:val="pt-BR" w:eastAsia="ar-SA" w:bidi="ar-SA"/>
              </w:rPr>
              <w:t xml:space="preserve">(1) esta é sua primeira aquisição imobiliária; </w:t>
            </w:r>
          </w:p>
          <w:p>
            <w:pPr>
              <w:pStyle w:val="Normal"/>
              <w:tabs>
                <w:tab w:val="clear" w:pos="720"/>
                <w:tab w:val="left" w:pos="2340" w:leader="none"/>
              </w:tabs>
              <w:spacing w:lineRule="auto" w:line="240"/>
              <w:jc w:val="both"/>
              <w:rPr>
                <w:rFonts w:ascii="Arial narrow" w:hAnsi="Arial narrow" w:eastAsia="Times New Roman" w:cs="Arial narrow"/>
                <w:b/>
                <w:b/>
                <w:bCs/>
                <w:color w:val="auto"/>
                <w:kern w:val="0"/>
                <w:sz w:val="20"/>
                <w:szCs w:val="20"/>
                <w:lang w:val="pt-BR" w:eastAsia="ar-SA" w:bidi="ar-SA"/>
              </w:rPr>
            </w:pPr>
            <w:r>
              <w:rPr>
                <w:rFonts w:eastAsia="Times New Roman" w:cs="Arial narrow" w:ascii="Arial narrow" w:hAnsi="Arial narrow"/>
                <w:b/>
                <w:bCs/>
                <w:color w:val="auto"/>
                <w:kern w:val="0"/>
                <w:sz w:val="20"/>
                <w:szCs w:val="20"/>
                <w:lang w:val="pt-BR" w:eastAsia="ar-SA" w:bidi="ar-SA"/>
              </w:rPr>
              <w:t xml:space="preserve">(2) o imóvel é adquirido para fins residenciais; e </w:t>
            </w:r>
          </w:p>
          <w:p>
            <w:pPr>
              <w:pStyle w:val="Normal"/>
              <w:tabs>
                <w:tab w:val="clear" w:pos="720"/>
                <w:tab w:val="left" w:pos="2340" w:leader="none"/>
              </w:tabs>
              <w:spacing w:lineRule="auto" w:line="240"/>
              <w:jc w:val="both"/>
              <w:rPr>
                <w:rFonts w:ascii="Arial narrow" w:hAnsi="Arial narrow" w:eastAsia="Times New Roman" w:cs="Arial narrow"/>
                <w:b/>
                <w:b/>
                <w:bCs/>
                <w:color w:val="auto"/>
                <w:kern w:val="0"/>
                <w:sz w:val="20"/>
                <w:szCs w:val="20"/>
                <w:lang w:val="pt-BR" w:eastAsia="ar-SA" w:bidi="ar-SA"/>
              </w:rPr>
            </w:pPr>
            <w:r>
              <w:rPr>
                <w:rFonts w:eastAsia="Times New Roman" w:cs="Arial narrow" w:ascii="Arial narrow" w:hAnsi="Arial narrow"/>
                <w:b/>
                <w:bCs/>
                <w:color w:val="auto"/>
                <w:kern w:val="0"/>
                <w:sz w:val="20"/>
                <w:szCs w:val="20"/>
                <w:lang w:val="pt-BR" w:eastAsia="ar-SA" w:bidi="ar-SA"/>
              </w:rPr>
              <w:t>(3) a aquisição ocorre através de financiamento pelo Sistema Financeiro de Habitação.</w:t>
            </w:r>
          </w:p>
          <w:p>
            <w:pPr>
              <w:pStyle w:val="Normal"/>
              <w:tabs>
                <w:tab w:val="clear" w:pos="720"/>
                <w:tab w:val="left" w:pos="2340" w:leader="none"/>
              </w:tabs>
              <w:spacing w:lineRule="auto" w:line="240" w:before="0" w:after="57"/>
              <w:jc w:val="both"/>
              <w:rPr/>
            </w:pPr>
            <w:r>
              <w:rPr>
                <w:rFonts w:eastAsia="Times New Roman" w:cs="Arial narrow" w:ascii="Arial narrow" w:hAnsi="Arial narrow"/>
                <w:b/>
                <w:bCs/>
                <w:color w:val="auto"/>
                <w:kern w:val="0"/>
                <w:sz w:val="20"/>
                <w:szCs w:val="20"/>
                <w:u w:val="single"/>
                <w:lang w:val="pt-BR" w:eastAsia="ar-SA" w:bidi="ar-SA"/>
              </w:rPr>
              <w:t>Solicita(m), assim, a redução dos emolumentos</w:t>
            </w:r>
            <w:r>
              <w:rPr>
                <w:rFonts w:eastAsia="Times New Roman" w:cs="Arial narrow" w:ascii="Arial narrow" w:hAnsi="Arial narrow"/>
                <w:bCs/>
                <w:color w:val="auto"/>
                <w:kern w:val="0"/>
                <w:sz w:val="20"/>
                <w:szCs w:val="20"/>
                <w:lang w:val="pt-BR" w:eastAsia="ar-SA" w:bidi="ar-SA"/>
              </w:rPr>
              <w:t xml:space="preserve"> e da Taxa de Fiscalização Judiciária – TFJ devidos pelos atos necessários ao financiamento em 50% (cinquenta por cento).</w:t>
            </w:r>
          </w:p>
        </w:tc>
      </w:tr>
      <w:tr>
        <w:trPr/>
        <w:tc>
          <w:tcPr>
            <w:tcW w:w="624" w:type="dxa"/>
            <w:tcBorders>
              <w:top w:val="single" w:sz="2" w:space="0" w:color="000000"/>
              <w:left w:val="single" w:sz="2" w:space="0" w:color="000000"/>
              <w:bottom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sz w:val="24"/>
                <w:szCs w:val="24"/>
                <w:lang w:val="pt-BR"/>
              </w:rPr>
            </w:pPr>
            <w:r>
              <w:rPr>
                <w:rFonts w:cs="Arial Narrow" w:ascii="Arial Narrow" w:hAnsi="Arial Narrow"/>
                <w:sz w:val="24"/>
                <w:szCs w:val="24"/>
                <w:lang w:val="pt-BR"/>
              </w:rPr>
            </w:r>
          </w:p>
        </w:tc>
        <w:tc>
          <w:tcPr>
            <w:tcW w:w="9925" w:type="dxa"/>
            <w:tcBorders>
              <w:top w:val="single" w:sz="2" w:space="0" w:color="000000"/>
              <w:left w:val="single" w:sz="2" w:space="0" w:color="000000"/>
              <w:bottom w:val="single" w:sz="2" w:space="0" w:color="000000"/>
              <w:right w:val="single" w:sz="2" w:space="0" w:color="000000"/>
            </w:tcBorders>
            <w:shd w:fill="auto" w:val="clear"/>
          </w:tcPr>
          <w:p>
            <w:pPr>
              <w:pStyle w:val="Normal"/>
              <w:tabs>
                <w:tab w:val="clear" w:pos="720"/>
                <w:tab w:val="left" w:pos="2340" w:leader="none"/>
              </w:tabs>
              <w:spacing w:lineRule="auto" w:line="240"/>
              <w:jc w:val="both"/>
              <w:rPr>
                <w:rFonts w:ascii="Arial narrow" w:hAnsi="Arial narrow" w:eastAsia="Times New Roman" w:cs="Arial narrow"/>
                <w:b/>
                <w:b/>
                <w:bCs/>
                <w:color w:val="auto"/>
                <w:kern w:val="0"/>
                <w:sz w:val="20"/>
                <w:szCs w:val="20"/>
                <w:lang w:val="pt-BR" w:eastAsia="ar-SA" w:bidi="ar-SA"/>
              </w:rPr>
            </w:pPr>
            <w:r>
              <w:rPr>
                <w:rFonts w:eastAsia="Times New Roman" w:cs="Arial narrow" w:ascii="Arial narrow" w:hAnsi="Arial narrow"/>
                <w:b/>
                <w:bCs/>
                <w:color w:val="auto"/>
                <w:kern w:val="0"/>
                <w:sz w:val="20"/>
                <w:szCs w:val="20"/>
                <w:lang w:val="pt-BR" w:eastAsia="ar-SA" w:bidi="ar-SA"/>
              </w:rPr>
              <w:t>(1) não é sua primeira aquisição imobiliária; e/ou</w:t>
            </w:r>
          </w:p>
          <w:p>
            <w:pPr>
              <w:pStyle w:val="Normal"/>
              <w:tabs>
                <w:tab w:val="clear" w:pos="720"/>
                <w:tab w:val="left" w:pos="2340" w:leader="none"/>
              </w:tabs>
              <w:spacing w:lineRule="auto" w:line="240"/>
              <w:jc w:val="both"/>
              <w:rPr>
                <w:rFonts w:ascii="Arial narrow" w:hAnsi="Arial narrow" w:eastAsia="Times New Roman" w:cs="Arial narrow"/>
                <w:b/>
                <w:b/>
                <w:bCs/>
                <w:color w:val="auto"/>
                <w:kern w:val="0"/>
                <w:sz w:val="20"/>
                <w:szCs w:val="20"/>
                <w:lang w:val="pt-BR" w:eastAsia="ar-SA" w:bidi="ar-SA"/>
              </w:rPr>
            </w:pPr>
            <w:r>
              <w:rPr>
                <w:rFonts w:eastAsia="Times New Roman" w:cs="Arial narrow" w:ascii="Arial narrow" w:hAnsi="Arial narrow"/>
                <w:b/>
                <w:bCs/>
                <w:color w:val="auto"/>
                <w:kern w:val="0"/>
                <w:sz w:val="20"/>
                <w:szCs w:val="20"/>
                <w:lang w:val="pt-BR" w:eastAsia="ar-SA" w:bidi="ar-SA"/>
              </w:rPr>
              <w:t>(2) o imóvel não é adquirido para fins residenciais; e/ou</w:t>
            </w:r>
          </w:p>
          <w:p>
            <w:pPr>
              <w:pStyle w:val="Normal"/>
              <w:tabs>
                <w:tab w:val="clear" w:pos="720"/>
                <w:tab w:val="left" w:pos="2340" w:leader="none"/>
              </w:tabs>
              <w:spacing w:lineRule="auto" w:line="240"/>
              <w:jc w:val="both"/>
              <w:rPr>
                <w:rFonts w:ascii="Arial narrow" w:hAnsi="Arial narrow" w:eastAsia="Times New Roman" w:cs="Arial narrow"/>
                <w:b/>
                <w:b/>
                <w:bCs/>
                <w:color w:val="auto"/>
                <w:kern w:val="0"/>
                <w:sz w:val="20"/>
                <w:szCs w:val="20"/>
                <w:lang w:val="pt-BR" w:eastAsia="ar-SA" w:bidi="ar-SA"/>
              </w:rPr>
            </w:pPr>
            <w:r>
              <w:rPr>
                <w:rFonts w:eastAsia="Times New Roman" w:cs="Arial narrow" w:ascii="Arial narrow" w:hAnsi="Arial narrow"/>
                <w:b/>
                <w:bCs/>
                <w:color w:val="auto"/>
                <w:kern w:val="0"/>
                <w:sz w:val="20"/>
                <w:szCs w:val="20"/>
                <w:lang w:val="pt-BR" w:eastAsia="ar-SA" w:bidi="ar-SA"/>
              </w:rPr>
              <w:t>(3) a aquisição não ocorre através de financiamento pelo Sistema Financeiro de Habitação.</w:t>
            </w:r>
          </w:p>
          <w:p>
            <w:pPr>
              <w:pStyle w:val="Normal"/>
              <w:tabs>
                <w:tab w:val="clear" w:pos="720"/>
                <w:tab w:val="left" w:pos="2340" w:leader="none"/>
              </w:tabs>
              <w:spacing w:lineRule="auto" w:line="240" w:before="0" w:after="57"/>
              <w:jc w:val="both"/>
              <w:rPr/>
            </w:pPr>
            <w:r>
              <w:rPr>
                <w:rFonts w:eastAsia="Times New Roman" w:cs="Arial narrow" w:ascii="Arial narrow" w:hAnsi="Arial narrow"/>
                <w:b/>
                <w:bCs/>
                <w:color w:val="auto"/>
                <w:kern w:val="0"/>
                <w:sz w:val="20"/>
                <w:szCs w:val="20"/>
                <w:u w:val="single"/>
                <w:lang w:val="pt-BR" w:eastAsia="ar-SA" w:bidi="ar-SA"/>
              </w:rPr>
              <w:t>Declara(m), assim, que tem ciência de que não faz(em) jus a redução</w:t>
            </w:r>
            <w:r>
              <w:rPr>
                <w:rFonts w:eastAsia="Times New Roman" w:cs="Arial narrow" w:ascii="Arial narrow" w:hAnsi="Arial narrow"/>
                <w:bCs/>
                <w:color w:val="auto"/>
                <w:kern w:val="0"/>
                <w:sz w:val="20"/>
                <w:szCs w:val="20"/>
                <w:lang w:val="pt-BR" w:eastAsia="ar-SA" w:bidi="ar-SA"/>
              </w:rPr>
              <w:t xml:space="preserve"> dos emolumentos e da Taxa de Fiscalização Judiciária – TFJ devidos pelos atos necessários ao financiamento em 50% (cinquenta por cento).</w:t>
            </w:r>
          </w:p>
        </w:tc>
      </w:tr>
      <w:tr>
        <w:trPr/>
        <w:tc>
          <w:tcPr>
            <w:tcW w:w="624" w:type="dxa"/>
            <w:tcBorders>
              <w:top w:val="single" w:sz="2" w:space="0" w:color="000000"/>
              <w:left w:val="single" w:sz="2" w:space="0" w:color="000000"/>
              <w:bottom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tcBorders>
            <w:shd w:fill="auto" w:val="clear"/>
          </w:tcPr>
          <w:p>
            <w:pPr>
              <w:pStyle w:val="Normal"/>
              <w:tabs>
                <w:tab w:val="clear" w:pos="720"/>
                <w:tab w:val="left" w:pos="2340" w:leader="none"/>
              </w:tabs>
              <w:spacing w:lineRule="auto" w:line="240" w:before="0" w:after="57"/>
              <w:jc w:val="both"/>
              <w:rPr/>
            </w:pPr>
            <w:r>
              <w:rPr>
                <w:rFonts w:eastAsia="Times New Roman" w:cs="Arial narrow" w:ascii="Arial narrow" w:hAnsi="Arial narrow"/>
                <w:bCs/>
                <w:color w:val="auto"/>
                <w:kern w:val="0"/>
                <w:sz w:val="22"/>
                <w:szCs w:val="22"/>
                <w:lang w:val="pt-BR" w:eastAsia="ar-SA" w:bidi="ar-SA"/>
              </w:rPr>
              <w:t xml:space="preserve">Declara(m), por fim, que tem(têm) ciência de que o não enquadramento nas condições acima resulta na perda do benefício pleiteado e na obrigatoriedade da complementação dos emolumentos e da TFJ, bem como de que inserir declaração falsa em documento público, com fim de prejudicar direito, criar obrigação ou alterar fato juridicamente relevante caracteriza </w:t>
            </w:r>
            <w:r>
              <w:rPr>
                <w:rFonts w:eastAsia="Times New Roman" w:cs="Arial narrow" w:ascii="Arial narrow" w:hAnsi="Arial narrow"/>
                <w:b/>
                <w:bCs/>
                <w:color w:val="auto"/>
                <w:kern w:val="0"/>
                <w:sz w:val="22"/>
                <w:szCs w:val="22"/>
                <w:u w:val="single"/>
                <w:lang w:val="pt-BR" w:eastAsia="ar-SA" w:bidi="ar-SA"/>
              </w:rPr>
              <w:t>crime de falsidade ideológica previsto no art. 299 do Código Penal,</w:t>
            </w:r>
            <w:r>
              <w:rPr>
                <w:rFonts w:eastAsia="Times New Roman" w:cs="Arial narrow" w:ascii="Arial narrow" w:hAnsi="Arial narrow"/>
                <w:bCs/>
                <w:color w:val="auto"/>
                <w:kern w:val="0"/>
                <w:sz w:val="22"/>
                <w:szCs w:val="22"/>
                <w:lang w:val="pt-BR" w:eastAsia="ar-SA" w:bidi="ar-SA"/>
              </w:rPr>
              <w:t xml:space="preserve"> cuja pena são 1 (um) a 5 (cinco) anos de reclusão e multa, sem prejuízo das demais sanções civis. </w:t>
            </w:r>
          </w:p>
        </w:tc>
      </w:tr>
      <w:tr>
        <w:trPr/>
        <w:tc>
          <w:tcPr>
            <w:tcW w:w="624" w:type="dxa"/>
            <w:tcBorders>
              <w:left w:val="single" w:sz="2" w:space="0" w:color="000000"/>
              <w:bottom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left w:val="single" w:sz="2" w:space="0" w:color="000000"/>
              <w:bottom w:val="single" w:sz="2" w:space="0" w:color="000000"/>
              <w:right w:val="single" w:sz="2" w:space="0" w:color="000000"/>
            </w:tcBorders>
            <w:shd w:fill="auto" w:val="clear"/>
          </w:tcPr>
          <w:p>
            <w:pPr>
              <w:pStyle w:val="Normal"/>
              <w:tabs>
                <w:tab w:val="clear" w:pos="720"/>
                <w:tab w:val="left" w:pos="2340" w:leader="none"/>
              </w:tabs>
              <w:spacing w:lineRule="auto" w:line="240" w:before="0" w:after="57"/>
              <w:jc w:val="both"/>
              <w:rPr/>
            </w:pPr>
            <w:r>
              <w:rPr>
                <w:rFonts w:eastAsia="Times New Roman" w:cs="Arial Narrow" w:ascii="Arial Narrow" w:hAnsi="Arial Narrow"/>
                <w:color w:val="auto"/>
                <w:kern w:val="0"/>
                <w:sz w:val="20"/>
                <w:szCs w:val="20"/>
                <w:lang w:val="pt-BR" w:eastAsia="ar-SA" w:bidi="ar-SA"/>
              </w:rPr>
              <w:t>Declara, ainda, com fundamento no art. 10, §3</w:t>
            </w:r>
            <w:bookmarkStart w:id="0" w:name="__DdeLink__4690_2683964746"/>
            <w:r>
              <w:rPr>
                <w:rFonts w:eastAsia="Times New Roman" w:cs="Arial Narrow" w:ascii="Arial Narrow" w:hAnsi="Arial Narrow"/>
                <w:color w:val="auto"/>
                <w:kern w:val="0"/>
                <w:sz w:val="20"/>
                <w:szCs w:val="20"/>
                <w:lang w:val="pt-BR" w:eastAsia="ar-SA" w:bidi="ar-SA"/>
              </w:rPr>
              <w:t>º</w:t>
            </w:r>
            <w:bookmarkEnd w:id="0"/>
            <w:r>
              <w:rPr>
                <w:rFonts w:eastAsia="Times New Roman" w:cs="Arial Narrow" w:ascii="Arial Narrow" w:hAnsi="Arial Narrow"/>
                <w:color w:val="auto"/>
                <w:kern w:val="0"/>
                <w:sz w:val="20"/>
                <w:szCs w:val="20"/>
                <w:lang w:val="pt-BR" w:eastAsia="ar-SA" w:bidi="ar-SA"/>
              </w:rPr>
              <w:t xml:space="preserve">, I da Lei Estadual 15.424/2004 e no art. 135, em especial seu §1º, II do Provimento Conjunto 93/2020/CGJ/TJMG (Código de Normas dos Serviços Notariais e Registrais do Estado de Minas Gerais), </w:t>
            </w:r>
            <w:r>
              <w:rPr>
                <w:rFonts w:eastAsia="Times New Roman" w:cs="Arial Narrow" w:ascii="Arial Narrow" w:hAnsi="Arial Narrow"/>
                <w:b/>
                <w:color w:val="auto"/>
                <w:kern w:val="0"/>
                <w:sz w:val="20"/>
                <w:szCs w:val="20"/>
                <w:u w:val="single"/>
                <w:lang w:val="pt-BR" w:eastAsia="ar-SA" w:bidi="ar-SA"/>
              </w:rPr>
              <w:t>sob as penas da lei</w:t>
            </w:r>
            <w:r>
              <w:rPr>
                <w:rFonts w:eastAsia="Times New Roman" w:cs="Arial Narrow" w:ascii="Arial Narrow" w:hAnsi="Arial Narrow"/>
                <w:color w:val="auto"/>
                <w:kern w:val="0"/>
                <w:sz w:val="20"/>
                <w:szCs w:val="20"/>
                <w:lang w:val="pt-BR" w:eastAsia="ar-SA" w:bidi="ar-SA"/>
              </w:rPr>
              <w:t xml:space="preserve">, para fins exclusivos do registro solicitado, que o(s) imóvel(is) possui(em) o(s) seguinte(s) valor(es) real(is) ou de mercado: </w:t>
            </w:r>
          </w:p>
          <w:p>
            <w:pPr>
              <w:pStyle w:val="Normal"/>
              <w:tabs>
                <w:tab w:val="clear" w:pos="720"/>
                <w:tab w:val="left" w:pos="2340" w:leader="none"/>
              </w:tabs>
              <w:spacing w:lineRule="auto" w:line="240" w:before="0" w:after="57"/>
              <w:jc w:val="both"/>
              <w:rPr/>
            </w:pPr>
            <w:bookmarkStart w:id="1" w:name="__DdeLink__258_1055189522"/>
            <w:r>
              <w:rPr>
                <w:rFonts w:eastAsia="Times New Roman" w:cs="Arial Narrow" w:ascii="Arial Narrow" w:hAnsi="Arial Narrow"/>
                <w:color w:val="auto"/>
                <w:kern w:val="0"/>
                <w:sz w:val="20"/>
                <w:szCs w:val="20"/>
                <w:lang w:val="pt-BR" w:eastAsia="ar-SA" w:bidi="ar-SA"/>
              </w:rPr>
              <w:t>Matrícula _____________: Valor de R$ _______________________ atribuído ao percentual de _______ % do imóvel;</w:t>
            </w:r>
            <w:bookmarkEnd w:id="1"/>
          </w:p>
        </w:tc>
      </w:tr>
      <w:tr>
        <w:trPr/>
        <w:tc>
          <w:tcPr>
            <w:tcW w:w="624" w:type="dxa"/>
            <w:tcBorders>
              <w:top w:val="single" w:sz="2" w:space="0" w:color="000000"/>
              <w:left w:val="single" w:sz="2" w:space="0" w:color="000000"/>
              <w:bottom w:val="single" w:sz="2" w:space="0" w:color="000000"/>
            </w:tcBorders>
            <w:shd w:fill="CCCCCC" w:val="clear"/>
          </w:tcPr>
          <w:p>
            <w:pPr>
              <w:pStyle w:val="Normal"/>
              <w:tabs>
                <w:tab w:val="clear" w:pos="720"/>
                <w:tab w:val="left" w:pos="2340" w:leader="none"/>
              </w:tabs>
              <w:spacing w:lineRule="auto" w:line="276"/>
              <w:jc w:val="center"/>
              <w:rPr>
                <w:rFonts w:ascii="Arial Narrow" w:hAnsi="Arial Narrow" w:cs="Arial Narrow"/>
                <w:b/>
                <w:b/>
                <w:bCs/>
                <w:sz w:val="16"/>
                <w:szCs w:val="16"/>
                <w:lang w:val="pt-BR"/>
              </w:rPr>
            </w:pPr>
            <w:r>
              <w:rPr>
                <w:rFonts w:cs="Arial Narrow" w:ascii="Arial Narrow" w:hAnsi="Arial Narrow"/>
                <w:b/>
                <w:bCs/>
                <w:sz w:val="16"/>
                <w:szCs w:val="16"/>
                <w:lang w:val="pt-BR"/>
              </w:rPr>
              <w:t>Opção</w:t>
            </w:r>
          </w:p>
        </w:tc>
        <w:tc>
          <w:tcPr>
            <w:tcW w:w="9925" w:type="dxa"/>
            <w:tcBorders>
              <w:top w:val="single" w:sz="2" w:space="0" w:color="000000"/>
              <w:left w:val="single" w:sz="2" w:space="0" w:color="000000"/>
              <w:bottom w:val="single" w:sz="2" w:space="0" w:color="000000"/>
              <w:right w:val="single" w:sz="2" w:space="0" w:color="000000"/>
            </w:tcBorders>
            <w:shd w:fill="CCCCCC" w:val="clear"/>
          </w:tcPr>
          <w:p>
            <w:pPr>
              <w:pStyle w:val="Normal"/>
              <w:tabs>
                <w:tab w:val="clear" w:pos="720"/>
                <w:tab w:val="left" w:pos="2340" w:leader="none"/>
              </w:tabs>
              <w:spacing w:lineRule="auto" w:line="276"/>
              <w:jc w:val="center"/>
              <w:rPr>
                <w:rFonts w:ascii="Arial Narrow" w:hAnsi="Arial Narrow" w:cs="Arial Narrow"/>
                <w:b/>
                <w:b/>
                <w:bCs/>
                <w:lang w:val="pt-BR" w:eastAsia="ar-SA" w:bidi="ar-SA"/>
              </w:rPr>
            </w:pPr>
            <w:r>
              <w:rPr>
                <w:rFonts w:cs="Arial Narrow" w:ascii="Arial Narrow" w:hAnsi="Arial Narrow"/>
                <w:b/>
                <w:bCs/>
                <w:lang w:val="pt-BR" w:eastAsia="ar-SA" w:bidi="ar-SA"/>
              </w:rPr>
              <w:t>Requerimentos</w:t>
            </w:r>
          </w:p>
        </w:tc>
      </w:tr>
      <w:tr>
        <w:trPr/>
        <w:tc>
          <w:tcPr>
            <w:tcW w:w="624" w:type="dxa"/>
            <w:tcBorders>
              <w:top w:val="single" w:sz="2" w:space="0" w:color="000000"/>
              <w:left w:val="single" w:sz="2" w:space="0" w:color="000000"/>
              <w:bottom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tcBorders>
            <w:shd w:fill="auto" w:val="clear"/>
          </w:tcPr>
          <w:p>
            <w:pPr>
              <w:pStyle w:val="Normal"/>
              <w:tabs>
                <w:tab w:val="clear" w:pos="720"/>
                <w:tab w:val="left" w:pos="2340" w:leader="none"/>
              </w:tabs>
              <w:spacing w:lineRule="auto" w:line="240" w:before="0" w:after="57"/>
              <w:jc w:val="both"/>
              <w:rPr>
                <w:rFonts w:ascii="Arial Narrow" w:hAnsi="Arial Narrow" w:eastAsia="Times New Roman" w:cs="Arial Narrow"/>
                <w:color w:val="auto"/>
                <w:kern w:val="0"/>
                <w:sz w:val="20"/>
                <w:szCs w:val="20"/>
                <w:lang w:val="pt-BR" w:eastAsia="ar-SA" w:bidi="ar-SA"/>
              </w:rPr>
            </w:pPr>
            <w:r>
              <w:rPr>
                <w:rFonts w:eastAsia="Times New Roman" w:cs="Arial Narrow" w:ascii="Arial Narrow" w:hAnsi="Arial Narrow"/>
                <w:color w:val="auto"/>
                <w:kern w:val="0"/>
                <w:sz w:val="20"/>
                <w:szCs w:val="20"/>
                <w:lang w:val="pt-BR" w:eastAsia="ar-SA" w:bidi="ar-SA"/>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bl>
    <w:p>
      <w:pPr>
        <w:pStyle w:val="Normal"/>
        <w:tabs>
          <w:tab w:val="clear" w:pos="720"/>
          <w:tab w:val="left" w:pos="2340" w:leader="none"/>
        </w:tabs>
        <w:spacing w:lineRule="auto" w:line="276"/>
        <w:jc w:val="both"/>
        <w:rPr>
          <w:rFonts w:ascii="Arial Narrow" w:hAnsi="Arial Narrow" w:cs="Arial Narrow"/>
          <w:sz w:val="12"/>
          <w:szCs w:val="12"/>
          <w:lang w:val="pt-BR"/>
        </w:rPr>
      </w:pPr>
      <w:r>
        <w:rPr>
          <w:rFonts w:cs="Arial Narrow" w:ascii="Arial Narrow" w:hAnsi="Arial Narrow"/>
          <w:sz w:val="12"/>
          <w:szCs w:val="12"/>
          <w:lang w:val="pt-BR"/>
        </w:rPr>
      </w:r>
    </w:p>
    <w:p>
      <w:pPr>
        <w:pStyle w:val="NormalWeb"/>
        <w:tabs>
          <w:tab w:val="clear" w:pos="720"/>
          <w:tab w:val="left" w:pos="2340" w:leader="none"/>
        </w:tabs>
        <w:spacing w:lineRule="auto" w:line="360" w:before="0" w:after="0"/>
        <w:jc w:val="both"/>
        <w:rPr/>
      </w:pPr>
      <w:r>
        <w:rPr>
          <w:rFonts w:cs="Arial Narrow" w:ascii="Arial Narrow" w:hAnsi="Arial Narrow"/>
          <w:sz w:val="20"/>
          <w:szCs w:val="20"/>
        </w:rPr>
        <w:t xml:space="preserve">(__) Nos termos do §2º do Artigo 4º do Provimento nº 61/2017 do CNJ, </w:t>
      </w:r>
      <w:r>
        <w:rPr>
          <w:rFonts w:cs="Arial Narrow" w:ascii="Arial Narrow" w:hAnsi="Arial Narrow"/>
          <w:b/>
          <w:bCs/>
          <w:sz w:val="20"/>
          <w:szCs w:val="20"/>
        </w:rPr>
        <w:t>declaro</w:t>
      </w:r>
      <w:r>
        <w:rPr>
          <w:rFonts w:cs="Arial Narrow" w:ascii="Arial Narrow" w:hAnsi="Arial Narrow"/>
          <w:sz w:val="20"/>
          <w:szCs w:val="20"/>
        </w:rPr>
        <w:t xml:space="preserve"> desconhecer as informações omitidas acima.</w:t>
      </w:r>
    </w:p>
    <w:p>
      <w:pPr>
        <w:pStyle w:val="Normal"/>
        <w:jc w:val="both"/>
        <w:rPr>
          <w:rFonts w:ascii="Arial Narrow" w:hAnsi="Arial Narrow" w:cs="Arial Narrow"/>
          <w:sz w:val="12"/>
          <w:szCs w:val="12"/>
          <w:lang w:val="pt-BR"/>
        </w:rPr>
      </w:pPr>
      <w:r>
        <w:rPr>
          <w:rFonts w:cs="Arial Narrow" w:ascii="Arial Narrow" w:hAnsi="Arial Narrow"/>
          <w:sz w:val="12"/>
          <w:szCs w:val="12"/>
          <w:lang w:val="pt-BR"/>
        </w:rPr>
      </w:r>
    </w:p>
    <w:p>
      <w:pPr>
        <w:pStyle w:val="Normal"/>
        <w:jc w:val="both"/>
        <w:rPr>
          <w:rFonts w:ascii="Arial Narrow" w:hAnsi="Arial Narrow" w:cs="Arial Narrow"/>
          <w:lang w:val="pt-BR"/>
        </w:rPr>
      </w:pPr>
      <w:r>
        <w:rPr>
          <w:rFonts w:cs="Arial Narrow" w:ascii="Arial Narrow" w:hAnsi="Arial Narrow"/>
          <w:lang w:val="pt-BR"/>
        </w:rPr>
        <w:t>Pouso Alegre, ____ de ____________ de 202__.</w:t>
      </w:r>
    </w:p>
    <w:p>
      <w:pPr>
        <w:pStyle w:val="Normal"/>
        <w:jc w:val="both"/>
        <w:rPr>
          <w:rFonts w:ascii="Arial Narrow" w:hAnsi="Arial Narrow" w:cs="Arial Narrow"/>
          <w:sz w:val="16"/>
          <w:szCs w:val="16"/>
          <w:lang w:val="pt-BR"/>
        </w:rPr>
      </w:pPr>
      <w:r>
        <w:rPr>
          <w:rFonts w:cs="Arial Narrow" w:ascii="Arial Narrow" w:hAnsi="Arial Narrow"/>
          <w:sz w:val="16"/>
          <w:szCs w:val="16"/>
          <w:lang w:val="pt-BR"/>
        </w:rPr>
      </w:r>
      <w:bookmarkStart w:id="2" w:name="_GoBack3"/>
      <w:bookmarkStart w:id="3" w:name="_GoBack3"/>
      <w:bookmarkEnd w:id="3"/>
    </w:p>
    <w:p>
      <w:pPr>
        <w:pStyle w:val="Normal"/>
        <w:spacing w:lineRule="auto" w:line="276"/>
        <w:jc w:val="both"/>
        <w:rPr>
          <w:rFonts w:ascii="Arial Narrow" w:hAnsi="Arial Narrow" w:cs="Arial Narrow"/>
          <w:b/>
          <w:b/>
          <w:sz w:val="28"/>
          <w:szCs w:val="26"/>
          <w:lang w:val="pt-BR"/>
        </w:rPr>
      </w:pPr>
      <w:r>
        <w:rPr>
          <w:rFonts w:cs="Arial Narrow" w:ascii="Arial Narrow" w:hAnsi="Arial Narrow"/>
          <w:b/>
          <w:sz w:val="28"/>
          <w:szCs w:val="26"/>
          <w:lang w:val="pt-BR"/>
        </w:rPr>
        <w:t>_______________________________________________</w:t>
      </w:r>
    </w:p>
    <w:p>
      <w:pPr>
        <w:pStyle w:val="Normal"/>
        <w:spacing w:lineRule="auto" w:line="276"/>
        <w:jc w:val="both"/>
        <w:rPr>
          <w:rFonts w:ascii="Arial Narrow" w:hAnsi="Arial Narrow" w:cs="Arial Narrow"/>
          <w:b w:val="false"/>
          <w:b w:val="false"/>
          <w:bCs w:val="false"/>
          <w:sz w:val="20"/>
          <w:szCs w:val="20"/>
          <w:lang w:val="pt-BR"/>
        </w:rPr>
      </w:pPr>
      <w:r>
        <w:rPr>
          <w:rFonts w:cs="Arial Narrow" w:ascii="Arial Narrow" w:hAnsi="Arial Narrow"/>
          <w:b w:val="false"/>
          <w:bCs w:val="false"/>
          <w:sz w:val="20"/>
          <w:szCs w:val="20"/>
          <w:lang w:val="pt-BR"/>
        </w:rPr>
        <w:t xml:space="preserve">Assinatura </w:t>
      </w:r>
    </w:p>
    <w:p>
      <w:pPr>
        <w:pStyle w:val="Normal"/>
        <w:spacing w:lineRule="auto" w:line="276"/>
        <w:jc w:val="both"/>
        <w:rPr/>
      </w:pPr>
      <w:r>
        <w:rPr>
          <w:rFonts w:cs="Arial Narrow" w:ascii="Arial Narrow" w:hAnsi="Arial Narrow"/>
          <w:b w:val="false"/>
          <w:bCs w:val="false"/>
          <w:sz w:val="20"/>
          <w:szCs w:val="20"/>
          <w:lang w:val="pt-BR"/>
        </w:rPr>
        <w:t>(reconhecer firma ou assinar no balcão da serventia na presença de um escrevente)</w:t>
      </w:r>
    </w:p>
    <w:sectPr>
      <w:footerReference w:type="default" r:id="rId2"/>
      <w:type w:val="nextPage"/>
      <w:pgSz w:w="12240" w:h="15840"/>
      <w:pgMar w:left="838" w:right="897" w:header="0" w:top="1418" w:footer="72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Calibri">
    <w:charset w:val="00"/>
    <w:family w:val="roman"/>
    <w:pitch w:val="variable"/>
  </w:font>
  <w:font w:name="Arial Narro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
  </w:p>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pt-BR"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Normal"/>
    <w:next w:val="Normal"/>
    <w:qFormat/>
    <w:pPr>
      <w:keepNext w:val="true"/>
      <w:numPr>
        <w:ilvl w:val="0"/>
        <w:numId w:val="1"/>
      </w:numPr>
      <w:suppressAutoHyphens w:val="false"/>
      <w:spacing w:lineRule="auto" w:line="360"/>
      <w:jc w:val="both"/>
      <w:outlineLvl w:val="0"/>
    </w:pPr>
    <w:rPr>
      <w:i/>
      <w:iCs/>
      <w:sz w:val="20"/>
      <w:lang w:val="pt-BR" w:eastAsia="en-US"/>
    </w:rPr>
  </w:style>
  <w:style w:type="character" w:styleId="DefaultParagraphFont">
    <w:name w:val="Default Paragraph Font"/>
    <w:qFormat/>
    <w:rPr/>
  </w:style>
  <w:style w:type="character" w:styleId="Fontepargpadro1">
    <w:name w:val="Fonte parág. padrão1"/>
    <w:qFormat/>
    <w:rPr/>
  </w:style>
  <w:style w:type="character" w:styleId="Ttulo1Char">
    <w:name w:val="Título 1 Char"/>
    <w:qFormat/>
    <w:rPr>
      <w:i/>
      <w:iCs/>
      <w:szCs w:val="24"/>
      <w:lang w:eastAsia="en-US"/>
    </w:rPr>
  </w:style>
  <w:style w:type="character" w:styleId="TextodebaloChar">
    <w:name w:val="Texto de balão Char"/>
    <w:basedOn w:val="DefaultParagraphFont"/>
    <w:qFormat/>
    <w:rPr>
      <w:rFonts w:ascii="Tahoma" w:hAnsi="Tahoma" w:cs="Tahoma"/>
      <w:sz w:val="16"/>
      <w:szCs w:val="16"/>
      <w:lang w:val="en-US" w:eastAsia="ar-SA"/>
    </w:rPr>
  </w:style>
  <w:style w:type="character" w:styleId="CabealhoChar">
    <w:name w:val="Cabeçalho Char"/>
    <w:basedOn w:val="DefaultParagraphFont"/>
    <w:qFormat/>
    <w:rPr>
      <w:sz w:val="24"/>
      <w:szCs w:val="24"/>
      <w:lang w:val="en-US" w:eastAsia="ar-SA"/>
    </w:rPr>
  </w:style>
  <w:style w:type="character" w:styleId="RodapChar">
    <w:name w:val="Rodapé Char"/>
    <w:basedOn w:val="DefaultParagraphFont"/>
    <w:qFormat/>
    <w:rPr>
      <w:sz w:val="24"/>
      <w:szCs w:val="24"/>
      <w:lang w:val="en-US" w:eastAsia="ar-SA"/>
    </w:rPr>
  </w:style>
  <w:style w:type="character" w:styleId="Nfase">
    <w:name w:val="Ênfase"/>
    <w:qFormat/>
    <w:rPr>
      <w:i/>
      <w:iCs/>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
    <w:name w:val="Body Text"/>
    <w:basedOn w:val="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Tahoma"/>
    </w:rPr>
  </w:style>
  <w:style w:type="paragraph" w:styleId="Captulo">
    <w:name w:val="Capítulo"/>
    <w:basedOn w:val="Normal"/>
    <w:next w:val="Corpodotexto"/>
    <w:qFormat/>
    <w:pPr>
      <w:keepNext w:val="true"/>
      <w:spacing w:before="240" w:after="120"/>
    </w:pPr>
    <w:rPr>
      <w:rFonts w:ascii="Arial" w:hAnsi="Arial" w:eastAsia="Lucida Sans Unicode" w:cs="Tahoma"/>
      <w:sz w:val="28"/>
      <w:szCs w:val="28"/>
    </w:rPr>
  </w:style>
  <w:style w:type="paragraph" w:styleId="Legenda1">
    <w:name w:val="Legenda1"/>
    <w:basedOn w:val="Normal"/>
    <w:qFormat/>
    <w:pPr>
      <w:suppressLineNumbers/>
      <w:spacing w:before="120" w:after="120"/>
    </w:pPr>
    <w:rPr>
      <w:rFonts w:cs="Tahoma"/>
      <w:i/>
      <w:iCs/>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NormalWeb">
    <w:name w:val="Normal (Web)"/>
    <w:basedOn w:val="Normal"/>
    <w:qFormat/>
    <w:pPr>
      <w:spacing w:before="280" w:after="280"/>
    </w:pPr>
    <w:rPr>
      <w:rFonts w:ascii="Arial Unicode MS" w:hAnsi="Arial Unicode MS" w:eastAsia="Arial Unicode MS" w:cs="Arial Unicode MS"/>
      <w:lang w:val="pt-BR" w:eastAsia="zh-CN"/>
    </w:rPr>
  </w:style>
  <w:style w:type="paragraph" w:styleId="Default">
    <w:name w:val="Default"/>
    <w:qFormat/>
    <w:pPr>
      <w:widowControl/>
      <w:suppressAutoHyphens w:val="true"/>
      <w:overflowPunct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REQ-DECL-DOC 00 - GERAL (PESSOA NATURAL)</Template>
  <TotalTime>232</TotalTime>
  <Application>LibreOffice/6.3.5.2$Windows_X86_64 LibreOffice_project/dd0751754f11728f69b42ee2af66670068624673</Application>
  <Pages>1</Pages>
  <Words>444</Words>
  <Characters>3054</Characters>
  <CharactersWithSpaces>3485</CharactersWithSpaces>
  <Paragraphs>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2018-12-11T13:20:00Z</dcterms:created>
  <dc:creator>Fabiano</dc:creator>
  <dc:description/>
  <dc:language>pt-BR</dc:language>
  <cp:lastModifiedBy/>
  <cp:lastPrinted>2018-11-26T14:27:00Z</cp:lastPrinted>
  <dcterms:modified xsi:type="dcterms:W3CDTF">2023-03-22T17:21:44Z</dcterms:modified>
  <cp:revision>34</cp:revision>
  <dc:subject/>
  <dc:title>ILMO SR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